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3C" w:rsidRPr="00203928" w:rsidRDefault="00DA323C" w:rsidP="00DA323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hd w:val="clear" w:color="auto" w:fill="D7B7CC"/>
        <w:jc w:val="center"/>
        <w:rPr>
          <w:rFonts w:ascii="Segoe Print" w:hAnsi="Segoe Print"/>
          <w:color w:val="7030A0"/>
          <w:sz w:val="32"/>
          <w:szCs w:val="32"/>
        </w:rPr>
      </w:pPr>
      <w:r w:rsidRPr="00203928">
        <w:rPr>
          <w:rFonts w:ascii="Segoe Print" w:hAnsi="Segoe Print"/>
          <w:color w:val="7030A0"/>
          <w:sz w:val="32"/>
          <w:szCs w:val="32"/>
        </w:rPr>
        <w:t>Déficience intellectuelle, Troubles du langage</w:t>
      </w:r>
    </w:p>
    <w:p w:rsidR="00DA323C" w:rsidRPr="00203928" w:rsidRDefault="00DA323C" w:rsidP="00DA323C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hd w:val="clear" w:color="auto" w:fill="D7B7CC"/>
        <w:jc w:val="center"/>
        <w:rPr>
          <w:rFonts w:ascii="Segoe Print" w:hAnsi="Segoe Print"/>
          <w:color w:val="7030A0"/>
          <w:sz w:val="32"/>
          <w:szCs w:val="32"/>
        </w:rPr>
      </w:pPr>
      <w:proofErr w:type="gramStart"/>
      <w:r w:rsidRPr="00203928">
        <w:rPr>
          <w:rFonts w:ascii="Segoe Print" w:hAnsi="Segoe Print"/>
          <w:color w:val="7030A0"/>
          <w:sz w:val="32"/>
          <w:szCs w:val="32"/>
        </w:rPr>
        <w:t>et</w:t>
      </w:r>
      <w:proofErr w:type="gramEnd"/>
      <w:r w:rsidRPr="00203928">
        <w:rPr>
          <w:rFonts w:ascii="Segoe Print" w:hAnsi="Segoe Print"/>
          <w:color w:val="7030A0"/>
          <w:sz w:val="32"/>
          <w:szCs w:val="32"/>
        </w:rPr>
        <w:t xml:space="preserve"> Apprentissages</w:t>
      </w:r>
    </w:p>
    <w:p w:rsidR="00203928" w:rsidRPr="0064126F" w:rsidRDefault="0064126F" w:rsidP="0064126F">
      <w:pPr>
        <w:jc w:val="both"/>
        <w:rPr>
          <w:rFonts w:ascii="Tempus Sans ITC" w:hAnsi="Tempus Sans ITC"/>
          <w:color w:val="7030A0"/>
          <w:sz w:val="24"/>
          <w:szCs w:val="24"/>
        </w:rPr>
      </w:pPr>
      <w:r>
        <w:rPr>
          <w:rFonts w:ascii="Tempus Sans ITC" w:hAnsi="Tempus Sans ITC"/>
          <w:color w:val="7030A0"/>
          <w:sz w:val="24"/>
          <w:szCs w:val="24"/>
        </w:rPr>
        <w:t xml:space="preserve">Camille </w:t>
      </w:r>
      <w:proofErr w:type="spellStart"/>
      <w:r>
        <w:rPr>
          <w:rFonts w:ascii="Tempus Sans ITC" w:hAnsi="Tempus Sans ITC"/>
          <w:color w:val="7030A0"/>
          <w:sz w:val="24"/>
          <w:szCs w:val="24"/>
        </w:rPr>
        <w:t>Jankowiak</w:t>
      </w:r>
      <w:proofErr w:type="spellEnd"/>
      <w:r>
        <w:rPr>
          <w:rFonts w:ascii="Tempus Sans ITC" w:hAnsi="Tempus Sans ITC"/>
          <w:color w:val="7030A0"/>
          <w:sz w:val="24"/>
          <w:szCs w:val="24"/>
        </w:rPr>
        <w:t xml:space="preserve"> et Marianne Gentillet, orthophonistes</w:t>
      </w:r>
    </w:p>
    <w:p w:rsidR="008251E0" w:rsidRPr="008C006B" w:rsidRDefault="00203928" w:rsidP="00203928">
      <w:pPr>
        <w:pBdr>
          <w:left w:val="single" w:sz="4" w:space="4" w:color="ED7D31" w:themeColor="accent2"/>
        </w:pBdr>
        <w:ind w:firstLine="708"/>
        <w:jc w:val="both"/>
        <w:rPr>
          <w:rFonts w:ascii="Tempus Sans ITC" w:hAnsi="Tempus Sans ITC"/>
          <w:color w:val="ED7D31" w:themeColor="accent2"/>
          <w:sz w:val="24"/>
          <w:szCs w:val="24"/>
        </w:rPr>
      </w:pPr>
      <w:r>
        <w:rPr>
          <w:rFonts w:ascii="Tempus Sans ITC" w:hAnsi="Tempus Sans ITC"/>
          <w:color w:val="ED7D31" w:themeColor="accent2"/>
          <w:sz w:val="24"/>
          <w:szCs w:val="24"/>
        </w:rPr>
        <w:t>T</w:t>
      </w:r>
      <w:r w:rsidR="00C23872" w:rsidRPr="008C006B">
        <w:rPr>
          <w:rFonts w:ascii="Tempus Sans ITC" w:hAnsi="Tempus Sans ITC"/>
          <w:color w:val="ED7D31" w:themeColor="accent2"/>
          <w:sz w:val="24"/>
          <w:szCs w:val="24"/>
        </w:rPr>
        <w:t>roubles de compréhension orale</w:t>
      </w:r>
    </w:p>
    <w:p w:rsidR="00C23872" w:rsidRPr="00DA323C" w:rsidRDefault="00C23872" w:rsidP="00203928">
      <w:pPr>
        <w:pBdr>
          <w:left w:val="single" w:sz="4" w:space="4" w:color="ED7D31" w:themeColor="accent2"/>
        </w:pBdr>
        <w:jc w:val="both"/>
        <w:rPr>
          <w:rFonts w:ascii="Tempus Sans ITC" w:hAnsi="Tempus Sans ITC"/>
        </w:rPr>
      </w:pPr>
      <w:r w:rsidRPr="00DA323C">
        <w:rPr>
          <w:rFonts w:ascii="Tempus Sans ITC" w:hAnsi="Tempus Sans ITC"/>
        </w:rPr>
        <w:t xml:space="preserve">Il est plus facile de comprendre les pronoms sujets </w:t>
      </w:r>
      <w:r w:rsidR="00DA323C">
        <w:rPr>
          <w:rFonts w:ascii="Tempus Sans ITC" w:hAnsi="Tempus Sans ITC"/>
          <w:i/>
        </w:rPr>
        <w:t>(</w:t>
      </w:r>
      <w:r w:rsidR="00DA323C" w:rsidRPr="00DA323C">
        <w:rPr>
          <w:rFonts w:ascii="Tempus Sans ITC" w:hAnsi="Tempus Sans ITC"/>
          <w:b/>
          <w:i/>
        </w:rPr>
        <w:t>elle</w:t>
      </w:r>
      <w:r w:rsidR="00DA323C" w:rsidRPr="00DA323C">
        <w:rPr>
          <w:rFonts w:ascii="Tempus Sans ITC" w:hAnsi="Tempus Sans ITC"/>
          <w:i/>
        </w:rPr>
        <w:t xml:space="preserve"> va au marché</w:t>
      </w:r>
      <w:r w:rsidR="00DA323C">
        <w:rPr>
          <w:rFonts w:ascii="Tempus Sans ITC" w:hAnsi="Tempus Sans ITC"/>
          <w:i/>
        </w:rPr>
        <w:t>)</w:t>
      </w:r>
      <w:r w:rsidRPr="00DA323C">
        <w:rPr>
          <w:rFonts w:ascii="Tempus Sans ITC" w:hAnsi="Tempus Sans ITC"/>
        </w:rPr>
        <w:t xml:space="preserve"> que les pronoms objets </w:t>
      </w:r>
      <w:r w:rsidRPr="00DA323C">
        <w:rPr>
          <w:rFonts w:ascii="Tempus Sans ITC" w:hAnsi="Tempus Sans ITC"/>
          <w:i/>
        </w:rPr>
        <w:t xml:space="preserve">(la voisine </w:t>
      </w:r>
      <w:r w:rsidRPr="00DA323C">
        <w:rPr>
          <w:rFonts w:ascii="Tempus Sans ITC" w:hAnsi="Tempus Sans ITC"/>
          <w:b/>
          <w:i/>
        </w:rPr>
        <w:t>leur</w:t>
      </w:r>
      <w:r w:rsidRPr="00DA323C">
        <w:rPr>
          <w:rFonts w:ascii="Tempus Sans ITC" w:hAnsi="Tempus Sans ITC"/>
          <w:i/>
        </w:rPr>
        <w:t xml:space="preserve"> parle)</w:t>
      </w:r>
    </w:p>
    <w:p w:rsidR="00C23872" w:rsidRPr="00DA323C" w:rsidRDefault="00C23872" w:rsidP="00203928">
      <w:pPr>
        <w:pBdr>
          <w:left w:val="single" w:sz="4" w:space="4" w:color="ED7D31" w:themeColor="accent2"/>
        </w:pBdr>
        <w:jc w:val="both"/>
        <w:rPr>
          <w:rFonts w:ascii="Tempus Sans ITC" w:hAnsi="Tempus Sans ITC"/>
        </w:rPr>
      </w:pPr>
      <w:r w:rsidRPr="00DA323C">
        <w:rPr>
          <w:rFonts w:ascii="Tempus Sans ITC" w:hAnsi="Tempus Sans ITC"/>
        </w:rPr>
        <w:t>Les phrases négatives ne sont pas bien comprises : préférer « </w:t>
      </w:r>
      <w:r w:rsidRPr="00DA323C">
        <w:rPr>
          <w:rFonts w:ascii="Tempus Sans ITC" w:hAnsi="Tempus Sans ITC"/>
          <w:i/>
        </w:rPr>
        <w:t>marche</w:t>
      </w:r>
      <w:r w:rsidRPr="00DA323C">
        <w:rPr>
          <w:rFonts w:ascii="Tempus Sans ITC" w:hAnsi="Tempus Sans ITC"/>
        </w:rPr>
        <w:t> » à « </w:t>
      </w:r>
      <w:r w:rsidRPr="00DA323C">
        <w:rPr>
          <w:rFonts w:ascii="Tempus Sans ITC" w:hAnsi="Tempus Sans ITC"/>
          <w:i/>
        </w:rPr>
        <w:t>ne cours pas</w:t>
      </w:r>
      <w:r w:rsidRPr="00DA323C">
        <w:rPr>
          <w:rFonts w:ascii="Tempus Sans ITC" w:hAnsi="Tempus Sans ITC"/>
        </w:rPr>
        <w:t> »</w:t>
      </w:r>
    </w:p>
    <w:p w:rsidR="00C23872" w:rsidRPr="00DA323C" w:rsidRDefault="00C23872" w:rsidP="00203928">
      <w:pPr>
        <w:pBdr>
          <w:left w:val="single" w:sz="4" w:space="4" w:color="ED7D31" w:themeColor="accent2"/>
        </w:pBdr>
        <w:jc w:val="both"/>
        <w:rPr>
          <w:rFonts w:ascii="Tempus Sans ITC" w:hAnsi="Tempus Sans ITC"/>
        </w:rPr>
      </w:pPr>
      <w:r w:rsidRPr="00DA323C">
        <w:rPr>
          <w:rFonts w:ascii="Tempus Sans ITC" w:hAnsi="Tempus Sans ITC"/>
        </w:rPr>
        <w:t>Les phrases passives sont moins bien comprises, ainsi que les superlatifs et comparatifs</w:t>
      </w:r>
    </w:p>
    <w:p w:rsidR="00C23872" w:rsidRPr="008C006B" w:rsidRDefault="00203928" w:rsidP="008C006B">
      <w:pPr>
        <w:pBdr>
          <w:left w:val="single" w:sz="4" w:space="4" w:color="70AD47" w:themeColor="accent6"/>
        </w:pBdr>
        <w:ind w:firstLine="708"/>
        <w:jc w:val="both"/>
        <w:rPr>
          <w:rFonts w:ascii="Tempus Sans ITC" w:hAnsi="Tempus Sans ITC"/>
          <w:color w:val="70AD47" w:themeColor="accent6"/>
        </w:rPr>
      </w:pPr>
      <w:r>
        <w:rPr>
          <w:rFonts w:ascii="Tempus Sans ITC" w:hAnsi="Tempus Sans ITC"/>
          <w:color w:val="70AD47" w:themeColor="accent6"/>
        </w:rPr>
        <w:t>T</w:t>
      </w:r>
      <w:r w:rsidR="00C23872" w:rsidRPr="008C006B">
        <w:rPr>
          <w:rFonts w:ascii="Tempus Sans ITC" w:hAnsi="Tempus Sans ITC"/>
          <w:color w:val="70AD47" w:themeColor="accent6"/>
        </w:rPr>
        <w:t>roubles d’expression orale</w:t>
      </w:r>
    </w:p>
    <w:p w:rsidR="008C006B" w:rsidRPr="00DA323C" w:rsidRDefault="00C23872" w:rsidP="008C006B">
      <w:pPr>
        <w:pBdr>
          <w:left w:val="single" w:sz="4" w:space="4" w:color="70AD47" w:themeColor="accent6"/>
        </w:pBdr>
        <w:jc w:val="both"/>
        <w:rPr>
          <w:rFonts w:ascii="Tempus Sans ITC" w:hAnsi="Tempus Sans ITC"/>
        </w:rPr>
      </w:pPr>
      <w:r w:rsidRPr="00DA323C">
        <w:rPr>
          <w:rFonts w:ascii="Tempus Sans ITC" w:hAnsi="Tempus Sans ITC"/>
        </w:rPr>
        <w:t>Un enfant qui parle peu n’est pas forcément timide : il peut lui être difficile de parler car certains mots lui manquent</w:t>
      </w:r>
    </w:p>
    <w:p w:rsidR="00C23872" w:rsidRDefault="00C23872" w:rsidP="008C006B">
      <w:pPr>
        <w:pBdr>
          <w:left w:val="single" w:sz="4" w:space="4" w:color="70AD47" w:themeColor="accent6"/>
        </w:pBdr>
        <w:jc w:val="both"/>
        <w:rPr>
          <w:rFonts w:ascii="Tempus Sans ITC" w:hAnsi="Tempus Sans ITC"/>
        </w:rPr>
      </w:pPr>
      <w:r w:rsidRPr="00DA323C">
        <w:rPr>
          <w:rFonts w:ascii="Tempus Sans ITC" w:hAnsi="Tempus Sans ITC"/>
        </w:rPr>
        <w:t>Les phrases produites seront courtes et peu complexes, et la conjugaison des verbes souvent approximative</w:t>
      </w:r>
    </w:p>
    <w:p w:rsidR="00622886" w:rsidRPr="00622886" w:rsidRDefault="00622886" w:rsidP="00622886">
      <w:pPr>
        <w:pStyle w:val="Paragraphedeliste"/>
        <w:numPr>
          <w:ilvl w:val="0"/>
          <w:numId w:val="2"/>
        </w:numPr>
        <w:jc w:val="both"/>
        <w:rPr>
          <w:rFonts w:ascii="Tempus Sans ITC" w:hAnsi="Tempus Sans ITC"/>
        </w:rPr>
      </w:pPr>
      <w:r w:rsidRPr="00622886">
        <w:rPr>
          <w:rFonts w:ascii="Tempus Sans ITC" w:hAnsi="Tempus Sans ITC"/>
        </w:rPr>
        <w:t>Reformuler, laisser le temps de répondre, proposer des choix de réponses ou poser des questions fermées</w:t>
      </w:r>
    </w:p>
    <w:p w:rsidR="00C23872" w:rsidRPr="008C006B" w:rsidRDefault="00203928" w:rsidP="008C006B">
      <w:pPr>
        <w:pBdr>
          <w:left w:val="single" w:sz="4" w:space="4" w:color="4472C4" w:themeColor="accent5"/>
        </w:pBdr>
        <w:ind w:firstLine="708"/>
        <w:jc w:val="both"/>
        <w:rPr>
          <w:rFonts w:ascii="Tempus Sans ITC" w:hAnsi="Tempus Sans ITC"/>
          <w:color w:val="0070C0"/>
        </w:rPr>
      </w:pPr>
      <w:r>
        <w:rPr>
          <w:rFonts w:ascii="Tempus Sans ITC" w:hAnsi="Tempus Sans ITC"/>
          <w:color w:val="0070C0"/>
        </w:rPr>
        <w:t>C</w:t>
      </w:r>
      <w:r w:rsidR="00C23872" w:rsidRPr="008C006B">
        <w:rPr>
          <w:rFonts w:ascii="Tempus Sans ITC" w:hAnsi="Tempus Sans ITC"/>
          <w:color w:val="0070C0"/>
        </w:rPr>
        <w:t>ommunication alternative et améliorée</w:t>
      </w:r>
      <w:r w:rsidR="00CC55BF" w:rsidRPr="008C006B">
        <w:rPr>
          <w:rFonts w:ascii="Tempus Sans ITC" w:hAnsi="Tempus Sans ITC"/>
          <w:color w:val="0070C0"/>
        </w:rPr>
        <w:t xml:space="preserve"> (CAA)</w:t>
      </w:r>
    </w:p>
    <w:p w:rsidR="00C23872" w:rsidRPr="00DA323C" w:rsidRDefault="00C23872" w:rsidP="008C006B">
      <w:pPr>
        <w:pBdr>
          <w:left w:val="single" w:sz="4" w:space="4" w:color="4472C4" w:themeColor="accent5"/>
        </w:pBdr>
        <w:jc w:val="both"/>
        <w:rPr>
          <w:rFonts w:ascii="Tempus Sans ITC" w:hAnsi="Tempus Sans ITC"/>
        </w:rPr>
      </w:pPr>
      <w:r w:rsidRPr="00DA323C">
        <w:rPr>
          <w:rFonts w:ascii="Tempus Sans ITC" w:hAnsi="Tempus Sans ITC"/>
        </w:rPr>
        <w:t>Elle permet de soutenir la compréhension orale, et augmente les possibilités d’expression des personnes qui ne parlent pas, ou qui se font difficilement comprendre.</w:t>
      </w:r>
    </w:p>
    <w:p w:rsidR="00CC55BF" w:rsidRPr="00622886" w:rsidRDefault="00CC55BF" w:rsidP="008C006B">
      <w:pPr>
        <w:pBdr>
          <w:left w:val="single" w:sz="4" w:space="4" w:color="4472C4" w:themeColor="accent5"/>
        </w:pBdr>
        <w:jc w:val="both"/>
        <w:rPr>
          <w:rFonts w:ascii="Tempus Sans ITC" w:hAnsi="Tempus Sans ITC"/>
          <w:b/>
        </w:rPr>
      </w:pPr>
      <w:r w:rsidRPr="00622886">
        <w:rPr>
          <w:rFonts w:ascii="Tempus Sans ITC" w:hAnsi="Tempus Sans ITC"/>
          <w:b/>
        </w:rPr>
        <w:t>Même lorsque l’</w:t>
      </w:r>
      <w:r w:rsidR="00622886" w:rsidRPr="00622886">
        <w:rPr>
          <w:rFonts w:ascii="Tempus Sans ITC" w:hAnsi="Tempus Sans ITC"/>
          <w:b/>
        </w:rPr>
        <w:t>enfant accède à une verbalisation, les outils de communication</w:t>
      </w:r>
      <w:r w:rsidRPr="00622886">
        <w:rPr>
          <w:rFonts w:ascii="Tempus Sans ITC" w:hAnsi="Tempus Sans ITC"/>
          <w:b/>
        </w:rPr>
        <w:t xml:space="preserve"> </w:t>
      </w:r>
      <w:r w:rsidR="00622886" w:rsidRPr="00622886">
        <w:rPr>
          <w:rFonts w:ascii="Tempus Sans ITC" w:hAnsi="Tempus Sans ITC"/>
          <w:b/>
        </w:rPr>
        <w:t>restent nécessaires.</w:t>
      </w:r>
    </w:p>
    <w:p w:rsidR="00203928" w:rsidRPr="00203928" w:rsidRDefault="00203928" w:rsidP="00203928">
      <w:pPr>
        <w:ind w:firstLine="708"/>
        <w:jc w:val="both"/>
        <w:rPr>
          <w:rFonts w:ascii="Tempus Sans ITC" w:hAnsi="Tempus Sans ITC"/>
          <w:color w:val="7030A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CC55BF" w:rsidRPr="00DA323C" w:rsidTr="00203928">
        <w:tc>
          <w:tcPr>
            <w:tcW w:w="5098" w:type="dxa"/>
          </w:tcPr>
          <w:p w:rsidR="00CC55BF" w:rsidRPr="00DA323C" w:rsidRDefault="00CC55BF" w:rsidP="00203928">
            <w:pPr>
              <w:jc w:val="center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Difficultés</w:t>
            </w:r>
          </w:p>
        </w:tc>
        <w:tc>
          <w:tcPr>
            <w:tcW w:w="5387" w:type="dxa"/>
          </w:tcPr>
          <w:p w:rsidR="00CC55BF" w:rsidRPr="00DA323C" w:rsidRDefault="00CC55BF" w:rsidP="00203928">
            <w:pPr>
              <w:jc w:val="center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Aménagements</w:t>
            </w:r>
            <w:r w:rsidR="00203928">
              <w:rPr>
                <w:rFonts w:ascii="Tempus Sans ITC" w:hAnsi="Tempus Sans ITC"/>
              </w:rPr>
              <w:t xml:space="preserve"> possibles</w:t>
            </w:r>
          </w:p>
        </w:tc>
      </w:tr>
      <w:tr w:rsidR="00CC55BF" w:rsidRPr="00DA323C" w:rsidTr="00203928">
        <w:tc>
          <w:tcPr>
            <w:tcW w:w="5098" w:type="dxa"/>
          </w:tcPr>
          <w:p w:rsidR="00CC55BF" w:rsidRPr="00DA323C" w:rsidRDefault="00CC55BF" w:rsidP="00203928">
            <w:pPr>
              <w:shd w:val="clear" w:color="auto" w:fill="FBE4D5" w:themeFill="accent2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Déficit mémoire de travail</w:t>
            </w:r>
          </w:p>
          <w:p w:rsidR="00CC55BF" w:rsidRPr="00DA323C" w:rsidRDefault="00CC55BF" w:rsidP="00203928">
            <w:pPr>
              <w:shd w:val="clear" w:color="auto" w:fill="FBE4D5" w:themeFill="accent2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Difficultés de compréhension</w:t>
            </w:r>
          </w:p>
          <w:p w:rsidR="00EA36E9" w:rsidRPr="00DA323C" w:rsidRDefault="00EA36E9" w:rsidP="00203928">
            <w:pPr>
              <w:shd w:val="clear" w:color="auto" w:fill="FBE4D5" w:themeFill="accent2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 xml:space="preserve">Difficulté de hiérarchisation des informations (pertinentes </w:t>
            </w:r>
            <w:r w:rsidRPr="00DA323C">
              <w:rPr>
                <w:rFonts w:ascii="Tempus Sans ITC" w:hAnsi="Tempus Sans ITC"/>
                <w:i/>
              </w:rPr>
              <w:t>vs</w:t>
            </w:r>
            <w:r w:rsidRPr="00DA323C">
              <w:rPr>
                <w:rFonts w:ascii="Tempus Sans ITC" w:hAnsi="Tempus Sans ITC"/>
              </w:rPr>
              <w:t xml:space="preserve"> non-pertinentes)</w:t>
            </w:r>
          </w:p>
          <w:p w:rsidR="00203928" w:rsidRDefault="00203928" w:rsidP="00DA323C">
            <w:pPr>
              <w:jc w:val="both"/>
              <w:rPr>
                <w:rFonts w:ascii="Tempus Sans ITC" w:hAnsi="Tempus Sans ITC"/>
              </w:rPr>
            </w:pPr>
          </w:p>
          <w:p w:rsidR="00CC55BF" w:rsidRPr="00DA323C" w:rsidRDefault="00CC55BF" w:rsidP="00203928">
            <w:pPr>
              <w:shd w:val="clear" w:color="auto" w:fill="E2EFD9" w:themeFill="accent6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Faibles capacités d’attention conjointe</w:t>
            </w:r>
          </w:p>
          <w:p w:rsidR="00CC55BF" w:rsidRPr="00DA323C" w:rsidRDefault="00CC55BF" w:rsidP="00203928">
            <w:pPr>
              <w:shd w:val="clear" w:color="auto" w:fill="E2EFD9" w:themeFill="accent6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Déficit d’attention sélective</w:t>
            </w:r>
          </w:p>
          <w:p w:rsidR="00CC55BF" w:rsidRPr="00DA323C" w:rsidRDefault="00CC55BF" w:rsidP="00203928">
            <w:pPr>
              <w:shd w:val="clear" w:color="auto" w:fill="E2EFD9" w:themeFill="accent6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Relative rigidité mentale</w:t>
            </w:r>
          </w:p>
          <w:p w:rsidR="00CC55BF" w:rsidRPr="00DA323C" w:rsidRDefault="00CC55BF" w:rsidP="00203928">
            <w:pPr>
              <w:shd w:val="clear" w:color="auto" w:fill="E2EFD9" w:themeFill="accent6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Persévérations</w:t>
            </w:r>
          </w:p>
          <w:p w:rsidR="00EA36E9" w:rsidRPr="00DA323C" w:rsidRDefault="00EA36E9" w:rsidP="00203928">
            <w:pPr>
              <w:shd w:val="clear" w:color="auto" w:fill="E2EFD9" w:themeFill="accent6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Abandon prématuré de la tâche + intérêt pour des tâches maîtrisées</w:t>
            </w:r>
          </w:p>
          <w:p w:rsidR="00203928" w:rsidRDefault="00203928" w:rsidP="00DA323C">
            <w:pPr>
              <w:jc w:val="both"/>
              <w:rPr>
                <w:rFonts w:ascii="Tempus Sans ITC" w:hAnsi="Tempus Sans ITC"/>
              </w:rPr>
            </w:pPr>
          </w:p>
          <w:p w:rsidR="00CC55BF" w:rsidRPr="00DA323C" w:rsidRDefault="00CC55BF" w:rsidP="00203928">
            <w:pPr>
              <w:shd w:val="clear" w:color="auto" w:fill="D9E2F3" w:themeFill="accent5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Difficultés à mettre en place des stratégies</w:t>
            </w:r>
          </w:p>
          <w:p w:rsidR="00CC55BF" w:rsidRPr="00DA323C" w:rsidRDefault="00CC55BF" w:rsidP="00203928">
            <w:pPr>
              <w:shd w:val="clear" w:color="auto" w:fill="D9E2F3" w:themeFill="accent5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Difficulté de planification des tâches</w:t>
            </w:r>
          </w:p>
          <w:p w:rsidR="00CC55BF" w:rsidRPr="00DA323C" w:rsidRDefault="00CC55BF" w:rsidP="00203928">
            <w:pPr>
              <w:shd w:val="clear" w:color="auto" w:fill="D9E2F3" w:themeFill="accent5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Impulsivité ou temps de latence important</w:t>
            </w:r>
          </w:p>
          <w:p w:rsidR="00203928" w:rsidRDefault="00203928" w:rsidP="00DA323C">
            <w:pPr>
              <w:jc w:val="both"/>
              <w:rPr>
                <w:rFonts w:ascii="Tempus Sans ITC" w:hAnsi="Tempus Sans ITC"/>
              </w:rPr>
            </w:pPr>
          </w:p>
          <w:p w:rsidR="00CC55BF" w:rsidRPr="00DA323C" w:rsidRDefault="00CC55BF" w:rsidP="00DA323C">
            <w:pPr>
              <w:jc w:val="both"/>
              <w:rPr>
                <w:rFonts w:ascii="Tempus Sans ITC" w:hAnsi="Tempus Sans ITC"/>
              </w:rPr>
            </w:pPr>
            <w:r w:rsidRPr="00203928">
              <w:rPr>
                <w:rFonts w:ascii="Tempus Sans ITC" w:hAnsi="Tempus Sans ITC"/>
                <w:shd w:val="clear" w:color="auto" w:fill="E7D5E1"/>
              </w:rPr>
              <w:t>Difficultés de généralisation et d’automatisation</w:t>
            </w:r>
          </w:p>
        </w:tc>
        <w:tc>
          <w:tcPr>
            <w:tcW w:w="5387" w:type="dxa"/>
          </w:tcPr>
          <w:p w:rsidR="00203928" w:rsidRPr="00DA323C" w:rsidRDefault="00EA36E9" w:rsidP="00203928">
            <w:pPr>
              <w:shd w:val="clear" w:color="auto" w:fill="FBE4D5" w:themeFill="accent2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Consignes visuelles épurées, pour un accès direct à une information sélectionnée et une permanence de la consigne</w:t>
            </w:r>
          </w:p>
          <w:p w:rsidR="00EA36E9" w:rsidRPr="00DA323C" w:rsidRDefault="00EA36E9" w:rsidP="00DA323C">
            <w:pPr>
              <w:jc w:val="both"/>
              <w:rPr>
                <w:rFonts w:ascii="Tempus Sans ITC" w:hAnsi="Tempus Sans ITC"/>
              </w:rPr>
            </w:pPr>
          </w:p>
          <w:p w:rsidR="00203928" w:rsidRDefault="00203928" w:rsidP="00DA323C">
            <w:pPr>
              <w:jc w:val="both"/>
              <w:rPr>
                <w:rFonts w:ascii="Tempus Sans ITC" w:hAnsi="Tempus Sans ITC"/>
              </w:rPr>
            </w:pPr>
          </w:p>
          <w:p w:rsidR="00EA36E9" w:rsidRPr="00DA323C" w:rsidRDefault="00EA36E9" w:rsidP="00203928">
            <w:pPr>
              <w:shd w:val="clear" w:color="auto" w:fill="E2EFD9" w:themeFill="accent6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Diminuer des distracteurs potentiels, centraliser les informations en un seul endroit</w:t>
            </w:r>
          </w:p>
          <w:p w:rsidR="00EA36E9" w:rsidRPr="00DA323C" w:rsidRDefault="00EA36E9" w:rsidP="00203928">
            <w:pPr>
              <w:shd w:val="clear" w:color="auto" w:fill="E2EFD9" w:themeFill="accent6" w:themeFillTint="33"/>
              <w:jc w:val="both"/>
              <w:rPr>
                <w:rFonts w:ascii="Tempus Sans ITC" w:hAnsi="Tempus Sans ITC"/>
              </w:rPr>
            </w:pPr>
            <w:r w:rsidRPr="00DA323C">
              <w:rPr>
                <w:rFonts w:ascii="Tempus Sans ITC" w:hAnsi="Tempus Sans ITC"/>
              </w:rPr>
              <w:t>Une activité = un lieu, pauses fréquentes, activités bien distinguées (espace, temps...), temps de travail courts mais nombreux</w:t>
            </w:r>
          </w:p>
          <w:p w:rsidR="00EA36E9" w:rsidRPr="00DA323C" w:rsidRDefault="00EA36E9" w:rsidP="00DA323C">
            <w:pPr>
              <w:jc w:val="both"/>
              <w:rPr>
                <w:rFonts w:ascii="Tempus Sans ITC" w:hAnsi="Tempus Sans ITC"/>
              </w:rPr>
            </w:pPr>
          </w:p>
          <w:p w:rsidR="00203928" w:rsidRDefault="00203928" w:rsidP="00DA323C">
            <w:pPr>
              <w:jc w:val="both"/>
              <w:rPr>
                <w:rFonts w:ascii="Tempus Sans ITC" w:hAnsi="Tempus Sans ITC"/>
              </w:rPr>
            </w:pPr>
          </w:p>
          <w:p w:rsidR="00EA36E9" w:rsidRPr="00DA323C" w:rsidRDefault="00EA36E9" w:rsidP="00203928">
            <w:pPr>
              <w:shd w:val="clear" w:color="auto" w:fill="D9E2F3" w:themeFill="accent5" w:themeFillTint="33"/>
              <w:jc w:val="both"/>
              <w:rPr>
                <w:rFonts w:ascii="Tempus Sans ITC" w:hAnsi="Tempus Sans ITC"/>
              </w:rPr>
            </w:pPr>
            <w:proofErr w:type="spellStart"/>
            <w:r w:rsidRPr="00DA323C">
              <w:rPr>
                <w:rFonts w:ascii="Tempus Sans ITC" w:hAnsi="Tempus Sans ITC"/>
              </w:rPr>
              <w:t>Séquentialisation</w:t>
            </w:r>
            <w:proofErr w:type="spellEnd"/>
            <w:r w:rsidRPr="00DA323C">
              <w:rPr>
                <w:rFonts w:ascii="Tempus Sans ITC" w:hAnsi="Tempus Sans ITC"/>
              </w:rPr>
              <w:t xml:space="preserve"> de la tâche, explicitation des stratégies à mettre en place</w:t>
            </w:r>
          </w:p>
          <w:p w:rsidR="00EA36E9" w:rsidRPr="00DA323C" w:rsidRDefault="00EA36E9" w:rsidP="00203928">
            <w:pPr>
              <w:shd w:val="clear" w:color="auto" w:fill="D9E2F3" w:themeFill="accent5" w:themeFillTint="33"/>
              <w:jc w:val="both"/>
              <w:rPr>
                <w:rFonts w:ascii="Tempus Sans ITC" w:hAnsi="Tempus Sans ITC"/>
              </w:rPr>
            </w:pPr>
          </w:p>
          <w:p w:rsidR="00203928" w:rsidRDefault="00203928" w:rsidP="00DA323C">
            <w:pPr>
              <w:jc w:val="both"/>
              <w:rPr>
                <w:rFonts w:ascii="Tempus Sans ITC" w:hAnsi="Tempus Sans ITC"/>
              </w:rPr>
            </w:pPr>
          </w:p>
          <w:p w:rsidR="00DA323C" w:rsidRPr="00DA323C" w:rsidRDefault="00DA323C" w:rsidP="00DA323C">
            <w:pPr>
              <w:jc w:val="both"/>
              <w:rPr>
                <w:rFonts w:ascii="Tempus Sans ITC" w:hAnsi="Tempus Sans ITC"/>
              </w:rPr>
            </w:pPr>
            <w:r w:rsidRPr="00203928">
              <w:rPr>
                <w:rFonts w:ascii="Tempus Sans ITC" w:hAnsi="Tempus Sans ITC"/>
                <w:shd w:val="clear" w:color="auto" w:fill="E7D5E1"/>
              </w:rPr>
              <w:t>Multiplier les expériences, et les reproduire dans des situations nouvelles. Faire et refaire</w:t>
            </w:r>
          </w:p>
        </w:tc>
      </w:tr>
    </w:tbl>
    <w:p w:rsidR="00C23872" w:rsidRDefault="00C23872" w:rsidP="00DA323C">
      <w:pPr>
        <w:jc w:val="both"/>
        <w:rPr>
          <w:rFonts w:ascii="Tempus Sans ITC" w:hAnsi="Tempus Sans ITC"/>
        </w:rPr>
      </w:pPr>
    </w:p>
    <w:p w:rsidR="00203928" w:rsidRDefault="000D364B" w:rsidP="00DA323C">
      <w:pPr>
        <w:jc w:val="both"/>
        <w:rPr>
          <w:rFonts w:ascii="Tempus Sans ITC" w:hAnsi="Tempus Sans ITC"/>
        </w:rPr>
      </w:pPr>
      <w:r w:rsidRPr="000D364B">
        <w:rPr>
          <w:rFonts w:ascii="Tempus Sans ITC" w:hAnsi="Tempus Sans ITC"/>
          <w:b/>
        </w:rPr>
        <w:t>Utilisations possibles des outils visuels</w:t>
      </w:r>
      <w:r>
        <w:rPr>
          <w:rFonts w:ascii="Tempus Sans ITC" w:hAnsi="Tempus Sans ITC"/>
        </w:rPr>
        <w:t xml:space="preserve"> (images, pictogrammes, mots écrits...) :</w:t>
      </w:r>
    </w:p>
    <w:p w:rsidR="00622886" w:rsidRDefault="00622886" w:rsidP="00622886">
      <w:pPr>
        <w:jc w:val="both"/>
        <w:rPr>
          <w:rFonts w:ascii="Tempus Sans ITC" w:hAnsi="Tempus Sans ITC"/>
        </w:rPr>
      </w:pPr>
      <w:r w:rsidRPr="00622886">
        <w:rPr>
          <w:rFonts w:ascii="Tempus Sans ITC" w:hAnsi="Tempus Sans ITC"/>
          <w:u w:val="single"/>
        </w:rPr>
        <w:t>Organisation temporelle :</w:t>
      </w:r>
      <w:r>
        <w:rPr>
          <w:rFonts w:ascii="Tempus Sans ITC" w:hAnsi="Tempus Sans ITC"/>
        </w:rPr>
        <w:t xml:space="preserve"> emploi du temps (semaine, journée..), planification et </w:t>
      </w:r>
      <w:proofErr w:type="spellStart"/>
      <w:r>
        <w:rPr>
          <w:rFonts w:ascii="Tempus Sans ITC" w:hAnsi="Tempus Sans ITC"/>
        </w:rPr>
        <w:t>séquentialisation</w:t>
      </w:r>
      <w:proofErr w:type="spellEnd"/>
      <w:r>
        <w:rPr>
          <w:rFonts w:ascii="Tempus Sans ITC" w:hAnsi="Tempus Sans ITC"/>
        </w:rPr>
        <w:t xml:space="preserve"> d’activités</w:t>
      </w:r>
    </w:p>
    <w:p w:rsidR="00622886" w:rsidRDefault="00622886" w:rsidP="00DA323C">
      <w:pPr>
        <w:jc w:val="both"/>
        <w:rPr>
          <w:rFonts w:ascii="Tempus Sans ITC" w:hAnsi="Tempus Sans ITC"/>
        </w:rPr>
      </w:pPr>
      <w:r w:rsidRPr="00622886">
        <w:rPr>
          <w:rFonts w:ascii="Tempus Sans ITC" w:hAnsi="Tempus Sans ITC"/>
          <w:u w:val="single"/>
        </w:rPr>
        <w:t>Consignes :</w:t>
      </w:r>
      <w:r>
        <w:rPr>
          <w:rFonts w:ascii="Tempus Sans ITC" w:hAnsi="Tempus Sans ITC"/>
        </w:rPr>
        <w:t xml:space="preserve"> règles de vie, consignes d’activités scolaires</w:t>
      </w:r>
    </w:p>
    <w:p w:rsidR="00622886" w:rsidRDefault="00622886" w:rsidP="00DA323C">
      <w:pPr>
        <w:jc w:val="both"/>
        <w:rPr>
          <w:rFonts w:ascii="Tempus Sans ITC" w:hAnsi="Tempus Sans ITC"/>
        </w:rPr>
      </w:pPr>
      <w:r w:rsidRPr="00622886">
        <w:rPr>
          <w:rFonts w:ascii="Tempus Sans ITC" w:hAnsi="Tempus Sans ITC"/>
          <w:u w:val="single"/>
        </w:rPr>
        <w:t>Structuration syntaxique :</w:t>
      </w:r>
      <w:r>
        <w:rPr>
          <w:rFonts w:ascii="Tempus Sans ITC" w:hAnsi="Tempus Sans ITC"/>
        </w:rPr>
        <w:t xml:space="preserve"> ordre des mots dans la phrase, compréhension écrite (livres, recettes...)</w:t>
      </w:r>
    </w:p>
    <w:p w:rsidR="00622886" w:rsidRDefault="00622886" w:rsidP="00DA323C">
      <w:pPr>
        <w:jc w:val="both"/>
        <w:rPr>
          <w:rFonts w:ascii="Tempus Sans ITC" w:hAnsi="Tempus Sans ITC"/>
          <w:b/>
        </w:rPr>
      </w:pPr>
    </w:p>
    <w:p w:rsidR="00D562A1" w:rsidRDefault="00D562A1" w:rsidP="00DA323C">
      <w:pPr>
        <w:jc w:val="both"/>
        <w:rPr>
          <w:rFonts w:ascii="Tempus Sans ITC" w:hAnsi="Tempus Sans ITC"/>
          <w:b/>
        </w:rPr>
      </w:pPr>
    </w:p>
    <w:p w:rsidR="00D562A1" w:rsidRDefault="00D562A1" w:rsidP="00DA323C">
      <w:pPr>
        <w:jc w:val="both"/>
        <w:rPr>
          <w:rFonts w:ascii="Tempus Sans ITC" w:hAnsi="Tempus Sans ITC"/>
          <w:b/>
        </w:rPr>
      </w:pPr>
    </w:p>
    <w:p w:rsidR="00D562A1" w:rsidRDefault="00D562A1" w:rsidP="00DA323C">
      <w:pPr>
        <w:jc w:val="both"/>
        <w:rPr>
          <w:rFonts w:ascii="Tempus Sans ITC" w:hAnsi="Tempus Sans ITC"/>
          <w:b/>
        </w:rPr>
      </w:pPr>
    </w:p>
    <w:p w:rsidR="00D562A1" w:rsidRDefault="00D562A1" w:rsidP="00DA323C">
      <w:pPr>
        <w:jc w:val="both"/>
        <w:rPr>
          <w:rFonts w:ascii="Tempus Sans ITC" w:hAnsi="Tempus Sans ITC"/>
          <w:b/>
        </w:rPr>
      </w:pPr>
    </w:p>
    <w:p w:rsidR="000D364B" w:rsidRPr="00622886" w:rsidRDefault="000D364B" w:rsidP="00DA323C">
      <w:pPr>
        <w:jc w:val="both"/>
        <w:rPr>
          <w:rFonts w:ascii="Tempus Sans ITC" w:hAnsi="Tempus Sans ITC"/>
          <w:b/>
        </w:rPr>
      </w:pPr>
      <w:r w:rsidRPr="00622886">
        <w:rPr>
          <w:rFonts w:ascii="Tempus Sans ITC" w:hAnsi="Tempus Sans ITC"/>
          <w:b/>
        </w:rPr>
        <w:t>Quelques ressources :</w:t>
      </w:r>
    </w:p>
    <w:p w:rsidR="000D364B" w:rsidRDefault="000D364B" w:rsidP="000D364B">
      <w:pPr>
        <w:tabs>
          <w:tab w:val="left" w:pos="8657"/>
        </w:tabs>
        <w:jc w:val="both"/>
        <w:rPr>
          <w:rFonts w:ascii="Tempus Sans ITC" w:hAnsi="Tempus Sans ITC"/>
          <w:bCs/>
        </w:rPr>
      </w:pPr>
      <w:r>
        <w:rPr>
          <w:rFonts w:ascii="Tempus Sans ITC" w:hAnsi="Tempus Sans ITC"/>
          <w:bCs/>
        </w:rPr>
        <w:t xml:space="preserve">Les pictogrammes et leur utilisation : </w:t>
      </w:r>
      <w:hyperlink r:id="rId5" w:history="1">
        <w:r w:rsidRPr="001405F2">
          <w:rPr>
            <w:rStyle w:val="Lienhypertexte"/>
            <w:rFonts w:ascii="Tempus Sans ITC" w:hAnsi="Tempus Sans ITC"/>
            <w:bCs/>
          </w:rPr>
          <w:t>http://www.ch-erstein.fr/les-partenaires/pictocom/</w:t>
        </w:r>
      </w:hyperlink>
    </w:p>
    <w:p w:rsidR="000D364B" w:rsidRDefault="000D364B" w:rsidP="000D364B">
      <w:pPr>
        <w:tabs>
          <w:tab w:val="left" w:pos="8657"/>
        </w:tabs>
        <w:jc w:val="both"/>
        <w:rPr>
          <w:rFonts w:ascii="Tempus Sans ITC" w:hAnsi="Tempus Sans ITC"/>
          <w:bCs/>
        </w:rPr>
      </w:pPr>
      <w:r>
        <w:rPr>
          <w:rFonts w:ascii="Tempus Sans ITC" w:hAnsi="Tempus Sans ITC"/>
          <w:bCs/>
        </w:rPr>
        <w:t xml:space="preserve">Les signes (dictionnaire) : </w:t>
      </w:r>
      <w:hyperlink r:id="rId6" w:history="1">
        <w:r w:rsidRPr="001405F2">
          <w:rPr>
            <w:rStyle w:val="Lienhypertexte"/>
            <w:rFonts w:ascii="Tempus Sans ITC" w:hAnsi="Tempus Sans ITC"/>
            <w:bCs/>
          </w:rPr>
          <w:t>https://www.elix-lsf.fr/</w:t>
        </w:r>
      </w:hyperlink>
    </w:p>
    <w:p w:rsidR="000D364B" w:rsidRDefault="000D364B" w:rsidP="000D364B">
      <w:pPr>
        <w:tabs>
          <w:tab w:val="left" w:pos="8657"/>
        </w:tabs>
        <w:jc w:val="both"/>
        <w:rPr>
          <w:rStyle w:val="Lienhypertexte"/>
          <w:rFonts w:ascii="Tempus Sans ITC" w:hAnsi="Tempus Sans ITC"/>
          <w:bCs/>
        </w:rPr>
      </w:pPr>
      <w:r>
        <w:rPr>
          <w:rFonts w:ascii="Tempus Sans ITC" w:hAnsi="Tempus Sans ITC"/>
          <w:bCs/>
        </w:rPr>
        <w:t xml:space="preserve">Matériel : </w:t>
      </w:r>
      <w:hyperlink r:id="rId7" w:history="1">
        <w:r w:rsidRPr="001405F2">
          <w:rPr>
            <w:rStyle w:val="Lienhypertexte"/>
            <w:rFonts w:ascii="Tempus Sans ITC" w:hAnsi="Tempus Sans ITC"/>
            <w:bCs/>
          </w:rPr>
          <w:t>http://www.makaton.fr/categorie/materiel-a-telecharger.html</w:t>
        </w:r>
      </w:hyperlink>
    </w:p>
    <w:p w:rsidR="00F87991" w:rsidRDefault="00F87991" w:rsidP="000D364B">
      <w:pPr>
        <w:tabs>
          <w:tab w:val="left" w:pos="8657"/>
        </w:tabs>
        <w:jc w:val="both"/>
        <w:rPr>
          <w:rStyle w:val="Lienhypertexte"/>
          <w:rFonts w:ascii="Tempus Sans ITC" w:hAnsi="Tempus Sans ITC"/>
          <w:bCs/>
        </w:rPr>
      </w:pPr>
      <w:r w:rsidRPr="00F87991">
        <w:rPr>
          <w:rStyle w:val="Lienhypertexte"/>
          <w:rFonts w:ascii="Tempus Sans ITC" w:hAnsi="Tempus Sans ITC"/>
          <w:bCs/>
          <w:color w:val="auto"/>
          <w:u w:val="none"/>
        </w:rPr>
        <w:t>Informations pratiques :</w:t>
      </w:r>
      <w:r w:rsidRPr="00F87991">
        <w:rPr>
          <w:rStyle w:val="Lienhypertexte"/>
          <w:rFonts w:ascii="Tempus Sans ITC" w:hAnsi="Tempus Sans ITC"/>
          <w:bCs/>
          <w:color w:val="auto"/>
        </w:rPr>
        <w:t xml:space="preserve"> </w:t>
      </w:r>
      <w:r w:rsidRPr="00F87991">
        <w:rPr>
          <w:rStyle w:val="Lienhypertexte"/>
          <w:rFonts w:ascii="Tempus Sans ITC" w:hAnsi="Tempus Sans ITC"/>
          <w:bCs/>
        </w:rPr>
        <w:t>http://guidespratiquesavs.fr/</w:t>
      </w:r>
    </w:p>
    <w:p w:rsidR="00092032" w:rsidRDefault="00092032" w:rsidP="000D364B">
      <w:pPr>
        <w:tabs>
          <w:tab w:val="left" w:pos="8657"/>
        </w:tabs>
        <w:jc w:val="both"/>
        <w:rPr>
          <w:rFonts w:ascii="Tempus Sans ITC" w:hAnsi="Tempus Sans ITC"/>
          <w:bCs/>
        </w:rPr>
      </w:pPr>
    </w:p>
    <w:p w:rsidR="000D364B" w:rsidRDefault="000D364B" w:rsidP="000D364B">
      <w:pPr>
        <w:tabs>
          <w:tab w:val="left" w:pos="8657"/>
        </w:tabs>
        <w:jc w:val="both"/>
        <w:rPr>
          <w:rFonts w:ascii="Tempus Sans ITC" w:hAnsi="Tempus Sans ITC"/>
          <w:bCs/>
        </w:rPr>
      </w:pPr>
      <w:bookmarkStart w:id="0" w:name="_GoBack"/>
      <w:bookmarkEnd w:id="0"/>
    </w:p>
    <w:p w:rsidR="000D364B" w:rsidRPr="000D364B" w:rsidRDefault="000D364B" w:rsidP="000D364B">
      <w:pPr>
        <w:tabs>
          <w:tab w:val="left" w:pos="8657"/>
        </w:tabs>
        <w:jc w:val="both"/>
        <w:rPr>
          <w:rFonts w:ascii="Tempus Sans ITC" w:hAnsi="Tempus Sans ITC"/>
        </w:rPr>
      </w:pPr>
    </w:p>
    <w:sectPr w:rsidR="000D364B" w:rsidRPr="000D364B" w:rsidSect="00D562A1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7209E"/>
    <w:multiLevelType w:val="hybridMultilevel"/>
    <w:tmpl w:val="2C76167E"/>
    <w:lvl w:ilvl="0" w:tplc="03FA0340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CF4A26"/>
    <w:multiLevelType w:val="hybridMultilevel"/>
    <w:tmpl w:val="0FF45A30"/>
    <w:lvl w:ilvl="0" w:tplc="1124F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72"/>
    <w:rsid w:val="00092032"/>
    <w:rsid w:val="000D364B"/>
    <w:rsid w:val="00203928"/>
    <w:rsid w:val="00622886"/>
    <w:rsid w:val="0064126F"/>
    <w:rsid w:val="008251E0"/>
    <w:rsid w:val="008C006B"/>
    <w:rsid w:val="00C23872"/>
    <w:rsid w:val="00CC55BF"/>
    <w:rsid w:val="00D562A1"/>
    <w:rsid w:val="00DA323C"/>
    <w:rsid w:val="00EA36E9"/>
    <w:rsid w:val="00F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0EB9-F57E-4761-A59F-A9530524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5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364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aton.fr/categorie/materiel-a-telecharg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x-lsf.fr/" TargetMode="External"/><Relationship Id="rId5" Type="http://schemas.openxmlformats.org/officeDocument/2006/relationships/hyperlink" Target="http://www.ch-erstein.fr/les-partenaires/picto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Jankowiak</dc:creator>
  <cp:keywords/>
  <dc:description/>
  <cp:lastModifiedBy>marianne roger</cp:lastModifiedBy>
  <cp:revision>5</cp:revision>
  <cp:lastPrinted>2016-11-29T17:23:00Z</cp:lastPrinted>
  <dcterms:created xsi:type="dcterms:W3CDTF">2016-11-29T15:45:00Z</dcterms:created>
  <dcterms:modified xsi:type="dcterms:W3CDTF">2016-11-30T10:42:00Z</dcterms:modified>
</cp:coreProperties>
</file>